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51994" w:rsidRPr="00892B73" w:rsidTr="00A133C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51994" w:rsidRPr="00892B73" w:rsidRDefault="00D51994" w:rsidP="00A133C9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Računovodstvo proračunskih korisnika</w:t>
            </w:r>
          </w:p>
        </w:tc>
      </w:tr>
      <w:tr w:rsidR="00D51994" w:rsidRPr="00892B73" w:rsidTr="00A133C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F144F4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26BC">
              <w:rPr>
                <w:rFonts w:ascii="Arial" w:hAnsi="Arial" w:cs="Arial"/>
                <w:sz w:val="20"/>
                <w:szCs w:val="20"/>
              </w:rPr>
              <w:t>ECS514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dr. sc. Andrijana Rogošić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51994" w:rsidRPr="00892B73" w:rsidTr="00A133C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892B73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892B73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892B73" w:rsidRDefault="00D51994" w:rsidP="00A133C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51994" w:rsidRPr="00892B73" w:rsidTr="00A133C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7E26BC" w:rsidRDefault="007E26BC" w:rsidP="00A133C9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E26BC">
              <w:rPr>
                <w:rFonts w:ascii="Arial" w:hAnsi="Arial" w:cs="Arial"/>
                <w:color w:val="FF0000"/>
                <w:sz w:val="20"/>
                <w:szCs w:val="20"/>
              </w:rPr>
              <w:t>5%</w:t>
            </w:r>
          </w:p>
        </w:tc>
      </w:tr>
      <w:tr w:rsidR="00D51994" w:rsidRPr="00892B73" w:rsidTr="00A133C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Osposobiti studente za vođenje računovodstva proračunskih korisnika;</w:t>
            </w: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Prethodno položen ispit iz „Računovodstva“ ili „Osnova računovodstva“ (poznavanje temeljnih računovodstvenih pojmova i računovodstvene evidencije);</w:t>
            </w:r>
          </w:p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Temeljni ishod učenja je:</w:t>
            </w:r>
          </w:p>
          <w:p w:rsidR="00D51994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Preporučiti okvir za vođenje računovodstva proračunskih korisnika (razina 7)</w:t>
            </w:r>
          </w:p>
          <w:p w:rsidR="00D51994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D51994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Pojedinačni ishodi učenja su:</w:t>
            </w:r>
          </w:p>
          <w:p w:rsidR="00D51994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Ocijeniti financijski položaj proračunskog </w:t>
            </w:r>
            <w:r w:rsidRPr="00F32ED0">
              <w:rPr>
                <w:rFonts w:ascii="Arial" w:hAnsi="Arial" w:cs="Arial"/>
                <w:color w:val="FF0000"/>
                <w:sz w:val="20"/>
                <w:szCs w:val="20"/>
              </w:rPr>
              <w:t xml:space="preserve">subjekta </w:t>
            </w:r>
            <w:r>
              <w:rPr>
                <w:rFonts w:ascii="Arial" w:hAnsi="Arial" w:cs="Arial"/>
                <w:sz w:val="20"/>
                <w:szCs w:val="20"/>
              </w:rPr>
              <w:t>(razina 7)</w:t>
            </w:r>
          </w:p>
          <w:p w:rsidR="00D51994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Valorizirati promjene na imovini i obvezama, </w:t>
            </w:r>
            <w:r w:rsidRPr="00F32ED0">
              <w:rPr>
                <w:rFonts w:ascii="Arial" w:hAnsi="Arial" w:cs="Arial"/>
                <w:color w:val="FF0000"/>
                <w:sz w:val="20"/>
                <w:szCs w:val="20"/>
              </w:rPr>
              <w:t xml:space="preserve">prihodima i rashodima </w:t>
            </w:r>
            <w:r>
              <w:rPr>
                <w:rFonts w:ascii="Arial" w:hAnsi="Arial" w:cs="Arial"/>
                <w:sz w:val="20"/>
                <w:szCs w:val="20"/>
              </w:rPr>
              <w:t>proračunskog korisnika (razina 7)</w:t>
            </w:r>
          </w:p>
          <w:p w:rsidR="00D51994" w:rsidRPr="00F32ED0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Utvrditi financijski rezultat proračunskog korisnika (razina 7)</w:t>
            </w:r>
          </w:p>
          <w:p w:rsidR="00D51994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Izraditi financijske izvještaje proračunskih korisnika (razina 6)</w:t>
            </w:r>
          </w:p>
          <w:p w:rsidR="00D51994" w:rsidRPr="00F32ED0" w:rsidRDefault="00D51994" w:rsidP="00D51994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32ED0">
              <w:rPr>
                <w:rFonts w:ascii="Arial" w:hAnsi="Arial" w:cs="Arial"/>
                <w:color w:val="FF0000"/>
                <w:sz w:val="20"/>
                <w:szCs w:val="20"/>
              </w:rPr>
              <w:t>Utvrditi regulatorni okvir koji utječe na proračunsko računovodstvo</w:t>
            </w: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7395" w:type="dxa"/>
              <w:tblLayout w:type="fixed"/>
              <w:tblLook w:val="01E0"/>
            </w:tblPr>
            <w:tblGrid>
              <w:gridCol w:w="497"/>
              <w:gridCol w:w="2946"/>
              <w:gridCol w:w="472"/>
              <w:gridCol w:w="3009"/>
              <w:gridCol w:w="471"/>
            </w:tblGrid>
            <w:tr w:rsidR="00D51994" w:rsidRPr="00F144F4" w:rsidTr="00A133C9">
              <w:tc>
                <w:tcPr>
                  <w:tcW w:w="49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D51994" w:rsidRPr="00F144F4" w:rsidRDefault="00D51994" w:rsidP="00A133C9">
                  <w:pPr>
                    <w:ind w:left="113" w:right="113"/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Tjedan</w:t>
                  </w:r>
                </w:p>
              </w:tc>
              <w:tc>
                <w:tcPr>
                  <w:tcW w:w="341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Predavanja</w:t>
                  </w:r>
                </w:p>
              </w:tc>
              <w:tc>
                <w:tcPr>
                  <w:tcW w:w="348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Vježbe</w:t>
                  </w:r>
                </w:p>
              </w:tc>
            </w:tr>
            <w:tr w:rsidR="00D51994" w:rsidRPr="00F144F4" w:rsidTr="00A133C9">
              <w:trPr>
                <w:cantSplit/>
                <w:trHeight w:val="699"/>
              </w:trPr>
              <w:tc>
                <w:tcPr>
                  <w:tcW w:w="49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Tema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ind w:left="-108" w:right="-108"/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 xml:space="preserve">Sati 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Tema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ind w:left="-108" w:right="-69"/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 xml:space="preserve">Sati 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 xml:space="preserve">Uvod; Sadržaj i cilj </w:t>
                  </w:r>
                  <w:r>
                    <w:rPr>
                      <w:rFonts w:ascii="Arial" w:hAnsi="Arial" w:cs="Arial"/>
                    </w:rPr>
                    <w:t>računovodstva proračunskih korisnika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Računovodstveni sustavi u Hrvatskoj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Razvoj i osnove proračunskog računovodstva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Obilježja računovodstva proračuna u Hrvatskoj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Sustav financijskog izvještavanja proračunskih korisnika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Temeljni financijski izvještaji proračunskih korisnika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Primjena računskog plana u proračunskom računovodstvu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Pravilnik o računovodstvu i računskom planu proračunskog računovodstva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Nefinancijska imovina proračunskih korisnika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(nabava)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Evidencija stjecanja nefinancijske imovine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6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Donacije i prijenosi nefinancijske imovine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Računovodstvo promjena na nefinancijskoj imovini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7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Otpis vrijednosti i rashodovanje nefinancijske imovine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Evidencija ispravka vrijednosti imovine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8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Stjecanje kratkotrajne imovine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Test (1)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9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Financijska imovina, Obveze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Evidencija kratkotrajne imovine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10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Priznavanje rashoda i izdataka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Praktični primjeri promjena na financijskoj imovini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lastRenderedPageBreak/>
                    <w:t>11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Razlikovanje i priznavanje prihoda i primitaka; Modificirano načelo nastanka događaja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Računovodstvena evidencija rashoda i izdataka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12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Utvrđivanje rezultata i ostale evidencije na vlastitim izvorima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Računovodstvena evidencija prihoda i primitaka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13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Specifičnosti proračunskog računovodstva u nekim djelatnostima</w:t>
                  </w:r>
                  <w:r w:rsidRPr="00F144F4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Evidencija promjena na vlastitim izvorima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14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Javna nabava; Državna revizija</w:t>
                  </w:r>
                </w:p>
              </w:tc>
              <w:tc>
                <w:tcPr>
                  <w:tcW w:w="472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Sastavljanje financijskih izvještaja</w:t>
                  </w:r>
                </w:p>
              </w:tc>
              <w:tc>
                <w:tcPr>
                  <w:tcW w:w="471" w:type="dxa"/>
                  <w:tcBorders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  <w:tr w:rsidR="00D51994" w:rsidRPr="00F144F4" w:rsidTr="00A133C9">
              <w:trPr>
                <w:cantSplit/>
              </w:trPr>
              <w:tc>
                <w:tcPr>
                  <w:tcW w:w="49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15</w:t>
                  </w:r>
                </w:p>
              </w:tc>
              <w:tc>
                <w:tcPr>
                  <w:tcW w:w="294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Proračunski subjekti u sustavu PDV</w:t>
                  </w:r>
                </w:p>
              </w:tc>
              <w:tc>
                <w:tcPr>
                  <w:tcW w:w="47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2</w:t>
                  </w:r>
                </w:p>
              </w:tc>
              <w:tc>
                <w:tcPr>
                  <w:tcW w:w="300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Test (2)</w:t>
                  </w:r>
                </w:p>
              </w:tc>
              <w:tc>
                <w:tcPr>
                  <w:tcW w:w="471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D51994" w:rsidRPr="00F144F4" w:rsidRDefault="00D51994" w:rsidP="00A133C9">
                  <w:pPr>
                    <w:jc w:val="center"/>
                    <w:rPr>
                      <w:rFonts w:ascii="Arial" w:hAnsi="Arial" w:cs="Arial"/>
                    </w:rPr>
                  </w:pPr>
                  <w:r w:rsidRPr="00F144F4">
                    <w:rPr>
                      <w:rFonts w:ascii="Arial" w:hAnsi="Arial" w:cs="Arial"/>
                    </w:rPr>
                    <w:t>2</w:t>
                  </w:r>
                </w:p>
              </w:tc>
            </w:tr>
          </w:tbl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994" w:rsidRPr="00892B73" w:rsidTr="00A133C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51994" w:rsidRPr="0088134D" w:rsidRDefault="00D51994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8134D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88134D">
              <w:rPr>
                <w:rFonts w:ascii="Arial" w:hAnsi="Arial" w:cs="Arial"/>
                <w:sz w:val="20"/>
                <w:szCs w:val="20"/>
                <w:lang w:val="hr-HR"/>
              </w:rPr>
              <w:t xml:space="preserve"> predavanja</w:t>
            </w:r>
          </w:p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51994" w:rsidRPr="0088134D" w:rsidRDefault="00D51994" w:rsidP="00A133C9">
            <w:pPr>
              <w:pStyle w:val="FieldText"/>
              <w:rPr>
                <w:rFonts w:ascii="Arial" w:hAnsi="Arial" w:cs="Arial"/>
                <w:sz w:val="20"/>
                <w:szCs w:val="20"/>
                <w:lang w:val="hr-HR"/>
              </w:rPr>
            </w:pPr>
            <w:r w:rsidRPr="0088134D">
              <w:rPr>
                <w:rFonts w:ascii="MS Gothic" w:eastAsia="MS Gothic" w:hAnsi="MS Gothic" w:cs="Arial" w:hint="eastAsia"/>
                <w:sz w:val="20"/>
                <w:szCs w:val="20"/>
                <w:lang w:val="hr-HR"/>
              </w:rPr>
              <w:t>☐</w:t>
            </w:r>
            <w:r w:rsidRPr="0088134D">
              <w:rPr>
                <w:rFonts w:ascii="Arial" w:hAnsi="Arial" w:cs="Arial"/>
                <w:sz w:val="20"/>
                <w:szCs w:val="20"/>
                <w:lang w:val="hr-HR"/>
              </w:rPr>
              <w:t xml:space="preserve"> vježbe  </w:t>
            </w:r>
          </w:p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7E42BC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755DF"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D755DF" w:rsidRPr="00892B73">
              <w:rPr>
                <w:rFonts w:ascii="Arial" w:hAnsi="Arial" w:cs="Arial"/>
                <w:sz w:val="20"/>
                <w:szCs w:val="20"/>
              </w:rPr>
            </w:r>
            <w:r w:rsidR="00D755DF"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t> </w:t>
            </w:r>
            <w:r w:rsidR="00D755DF"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92B7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92B7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92B7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51994" w:rsidRPr="00892B73" w:rsidTr="00A133C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8134D" w:rsidRDefault="00D51994" w:rsidP="00A133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88134D">
              <w:rPr>
                <w:rFonts w:ascii="Arial" w:hAnsi="Arial" w:cs="Arial"/>
                <w:sz w:val="20"/>
                <w:szCs w:val="20"/>
                <w:lang w:eastAsia="hr-HR"/>
              </w:rPr>
              <w:t>Uvjet za dobivanje potpisa redovni studenti stječu prisustvovanjem na predavanjima i vježbama (minimalno 50% od ukupne satnice).</w:t>
            </w:r>
          </w:p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51994" w:rsidRPr="00892B73" w:rsidTr="00A133C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892B73">
              <w:rPr>
                <w:rFonts w:ascii="Arial" w:hAnsi="Arial" w:cs="Arial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1994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1,2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51994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1994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51994"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7E42BC" w:rsidRDefault="00D755DF" w:rsidP="00A133C9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D51994" w:rsidRPr="007E42B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51994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51994" w:rsidRPr="007E42BC" w:rsidRDefault="00D51994" w:rsidP="00A133C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7E42BC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51994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1,8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D51994" w:rsidRPr="00892B73">
              <w:rPr>
                <w:rFonts w:ascii="Arial" w:hAnsi="Arial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D5199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Tijekom nastave studenti polažu dva testa. Ako su oba položena s više od 50% studenti su oslobođeni pisanog dijela ispita. Položeni testovi su preduvjet za pristup usmenom ispitu.</w:t>
            </w:r>
            <w:r>
              <w:t xml:space="preserve"> </w:t>
            </w:r>
            <w:r w:rsidRPr="00D51994">
              <w:rPr>
                <w:rFonts w:ascii="Arial" w:hAnsi="Arial" w:cs="Arial"/>
                <w:color w:val="FF0000"/>
                <w:sz w:val="20"/>
                <w:szCs w:val="20"/>
              </w:rPr>
              <w:t xml:space="preserve">Ukoliko student ne zadovolji na pisanim provjerama dužan je polagati završni ispit. </w:t>
            </w:r>
            <w:r w:rsidRPr="00D51994">
              <w:rPr>
                <w:color w:val="FF0000"/>
              </w:rPr>
              <w:t xml:space="preserve"> </w:t>
            </w:r>
            <w:r w:rsidRPr="00D51994">
              <w:rPr>
                <w:rFonts w:ascii="Arial" w:hAnsi="Arial" w:cs="Arial"/>
                <w:color w:val="FF0000"/>
                <w:sz w:val="20"/>
                <w:szCs w:val="20"/>
              </w:rPr>
              <w:t>Ispit se sastoji od pisanog dijela te provjere usvajanja teorijskih spoznaja na usmenom dijelu ispita. Ukupna ocjena se zaključuje temeljem ocjena prvog i drugog testa (odnosno pisanog ispita), ocjene referata i ocjene usmenog dijela ispita u omjeru 40%:10%:40%.</w:t>
            </w:r>
          </w:p>
        </w:tc>
      </w:tr>
      <w:tr w:rsidR="00D51994" w:rsidRPr="00892B73" w:rsidTr="00A133C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51994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8134D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Grupa autora: Primjena računskog plana proračuna i poreznih propisa 2011./2012., HZRIFD, Zagreb, 2011.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D51994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D51994" w:rsidRDefault="00D51994" w:rsidP="00D519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51994">
              <w:rPr>
                <w:rFonts w:ascii="Arial" w:hAnsi="Arial" w:cs="Arial"/>
                <w:color w:val="FF0000"/>
                <w:sz w:val="20"/>
                <w:szCs w:val="20"/>
              </w:rPr>
              <w:t>Autorizirana predavanja i 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51994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Internet </w:t>
            </w:r>
          </w:p>
        </w:tc>
      </w:tr>
      <w:tr w:rsidR="00D51994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Dopunska literatura </w:t>
            </w:r>
          </w:p>
          <w:p w:rsidR="00D51994" w:rsidRPr="00892B73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D51994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bookmarkStart w:id="0" w:name="_GoBack"/>
            <w:bookmarkEnd w:id="0"/>
            <w:r w:rsidRPr="00D51994">
              <w:rPr>
                <w:rFonts w:ascii="Arial" w:hAnsi="Arial" w:cs="Arial"/>
                <w:color w:val="FF0000"/>
                <w:sz w:val="20"/>
                <w:szCs w:val="20"/>
              </w:rPr>
              <w:t>Narodne novine (</w:t>
            </w:r>
            <w:hyperlink r:id="rId5" w:history="1">
              <w:r w:rsidRPr="00D51994">
                <w:rPr>
                  <w:rStyle w:val="Hyperlink"/>
                  <w:rFonts w:ascii="Arial" w:hAnsi="Arial" w:cs="Arial"/>
                  <w:color w:val="FF0000"/>
                  <w:sz w:val="20"/>
                  <w:szCs w:val="20"/>
                </w:rPr>
                <w:t>www.nn.hr</w:t>
              </w:r>
            </w:hyperlink>
            <w:r w:rsidRPr="00D51994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D51994" w:rsidRPr="00D51994" w:rsidRDefault="00D51994" w:rsidP="00D519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D5199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Rogošić, A. i Perković Paloš, K. (2017)</w:t>
            </w:r>
            <w: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:</w:t>
            </w:r>
            <w:r w:rsidRPr="00D51994"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 xml:space="preserve"> Public Sector Accounting: Transparency Issues. European Scientific Journal, Special Edition (July 2017), pp. 13-23 </w:t>
            </w:r>
          </w:p>
          <w:p w:rsidR="00D51994" w:rsidRPr="007210C7" w:rsidRDefault="00D51994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504AF8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:rsidR="00D51994" w:rsidRPr="00504AF8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:rsidR="00D51994" w:rsidRPr="00504AF8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:rsidR="00D51994" w:rsidRPr="00504AF8" w:rsidRDefault="00D51994" w:rsidP="00D51994">
            <w:pPr>
              <w:numPr>
                <w:ilvl w:val="0"/>
                <w:numId w:val="5"/>
              </w:numPr>
              <w:spacing w:after="0" w:line="360" w:lineRule="aut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51994" w:rsidRPr="00892B73" w:rsidRDefault="00D51994" w:rsidP="00D51994">
            <w:pPr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04AF8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51994" w:rsidRPr="00892B73" w:rsidTr="00A133C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51994" w:rsidRPr="00892B73" w:rsidRDefault="00D51994" w:rsidP="00A133C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92B73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51994" w:rsidRPr="00892B73" w:rsidRDefault="00D755DF" w:rsidP="00A133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51994" w:rsidRPr="00892B7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92B73">
              <w:rPr>
                <w:rFonts w:ascii="Arial" w:hAnsi="Arial" w:cs="Arial"/>
                <w:sz w:val="20"/>
                <w:szCs w:val="20"/>
              </w:rPr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D51994" w:rsidRPr="00892B7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92B7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A4427" w:rsidRDefault="006A4427"/>
    <w:sectPr w:rsidR="006A4427" w:rsidSect="00D75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7723"/>
    <w:multiLevelType w:val="hybridMultilevel"/>
    <w:tmpl w:val="8EDE80C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B84EFC"/>
    <w:multiLevelType w:val="hybridMultilevel"/>
    <w:tmpl w:val="25A8F8B0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9C6593"/>
    <w:multiLevelType w:val="hybridMultilevel"/>
    <w:tmpl w:val="7820BEA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characterSpacingControl w:val="doNotCompress"/>
  <w:compat/>
  <w:rsids>
    <w:rsidRoot w:val="00D51994"/>
    <w:rsid w:val="00513879"/>
    <w:rsid w:val="006A4427"/>
    <w:rsid w:val="007E26BC"/>
    <w:rsid w:val="00D51994"/>
    <w:rsid w:val="00D75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99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1994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D51994"/>
    <w:rPr>
      <w:rFonts w:cs="Times New Roman"/>
      <w:b/>
      <w:bCs/>
    </w:rPr>
  </w:style>
  <w:style w:type="table" w:styleId="TableGrid">
    <w:name w:val="Table Grid"/>
    <w:basedOn w:val="TableNormal"/>
    <w:rsid w:val="00D51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5199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51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994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51994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51994"/>
    <w:rPr>
      <w:rFonts w:cs="Times New Roman"/>
      <w:b/>
      <w:bCs/>
    </w:rPr>
  </w:style>
  <w:style w:type="table" w:styleId="Reetkatablice">
    <w:name w:val="Table Grid"/>
    <w:basedOn w:val="Obinatablica"/>
    <w:rsid w:val="00D519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51994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D519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n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906</Words>
  <Characters>5169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Andrijana Rogošić</dc:creator>
  <cp:lastModifiedBy>sumic</cp:lastModifiedBy>
  <cp:revision>2</cp:revision>
  <dcterms:created xsi:type="dcterms:W3CDTF">2018-06-06T12:35:00Z</dcterms:created>
  <dcterms:modified xsi:type="dcterms:W3CDTF">2018-06-06T12:35:00Z</dcterms:modified>
</cp:coreProperties>
</file>